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16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0492B6B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2C2AB93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B78964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31.07.2025</w:t>
            </w:r>
          </w:p>
        </w:tc>
      </w:tr>
      <w:tr w:rsidR="00000000" w14:paraId="3D523873"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7E0FC05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09AC3F6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64C56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31/07-1</w:t>
            </w:r>
          </w:p>
        </w:tc>
      </w:tr>
      <w:tr w:rsidR="00000000" w14:paraId="51E9920B" w14:textId="77777777">
        <w:tblPrEx>
          <w:tblCellMar>
            <w:top w:w="0" w:type="dxa"/>
            <w:bottom w:w="0" w:type="dxa"/>
          </w:tblCellMar>
        </w:tblPrEx>
        <w:trPr>
          <w:trHeight w:val="300"/>
        </w:trPr>
        <w:tc>
          <w:tcPr>
            <w:tcW w:w="5230" w:type="dxa"/>
            <w:tcBorders>
              <w:top w:val="nil"/>
              <w:left w:val="nil"/>
              <w:bottom w:val="nil"/>
              <w:right w:val="nil"/>
            </w:tcBorders>
            <w:vAlign w:val="bottom"/>
          </w:tcPr>
          <w:p w14:paraId="300885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08949E8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24CBEDB9" w14:textId="77777777">
        <w:tblPrEx>
          <w:tblCellMar>
            <w:top w:w="0" w:type="dxa"/>
            <w:bottom w:w="0" w:type="dxa"/>
          </w:tblCellMar>
        </w:tblPrEx>
        <w:trPr>
          <w:trHeight w:val="300"/>
        </w:trPr>
        <w:tc>
          <w:tcPr>
            <w:tcW w:w="10465" w:type="dxa"/>
            <w:tcBorders>
              <w:top w:val="nil"/>
              <w:left w:val="nil"/>
              <w:bottom w:val="nil"/>
              <w:right w:val="nil"/>
            </w:tcBorders>
            <w:vAlign w:val="bottom"/>
          </w:tcPr>
          <w:p w14:paraId="489204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E6B94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1A6D8F47"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03622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77CCDA4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08DF88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028EF4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4152A41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Боярин П.I.</w:t>
            </w:r>
          </w:p>
        </w:tc>
      </w:tr>
      <w:tr w:rsidR="00000000" w14:paraId="6BC82297" w14:textId="77777777">
        <w:tblPrEx>
          <w:tblCellMar>
            <w:top w:w="0" w:type="dxa"/>
            <w:bottom w:w="0" w:type="dxa"/>
          </w:tblCellMar>
        </w:tblPrEx>
        <w:trPr>
          <w:trHeight w:val="200"/>
        </w:trPr>
        <w:tc>
          <w:tcPr>
            <w:tcW w:w="3415" w:type="dxa"/>
            <w:tcBorders>
              <w:top w:val="nil"/>
              <w:left w:val="nil"/>
              <w:bottom w:val="nil"/>
              <w:right w:val="nil"/>
            </w:tcBorders>
          </w:tcPr>
          <w:p w14:paraId="781E528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3E503C8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272E4E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6740D4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1D2D3E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77E3E9F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7D93DDA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2CAC4F87"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6973B67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172D18C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Повне найменування: Приватне </w:t>
      </w:r>
      <w:proofErr w:type="spellStart"/>
      <w:r>
        <w:rPr>
          <w:rFonts w:ascii="Times New Roman" w:hAnsi="Times New Roman" w:cs="Times New Roman"/>
          <w:kern w:val="0"/>
        </w:rPr>
        <w:t>акцiонерне</w:t>
      </w:r>
      <w:proofErr w:type="spellEnd"/>
      <w:r>
        <w:rPr>
          <w:rFonts w:ascii="Times New Roman" w:hAnsi="Times New Roman" w:cs="Times New Roman"/>
          <w:kern w:val="0"/>
        </w:rPr>
        <w:t xml:space="preserve"> товариство "</w:t>
      </w:r>
      <w:proofErr w:type="spellStart"/>
      <w:r>
        <w:rPr>
          <w:rFonts w:ascii="Times New Roman" w:hAnsi="Times New Roman" w:cs="Times New Roman"/>
          <w:kern w:val="0"/>
        </w:rPr>
        <w:t>Автотрейдiнг</w:t>
      </w:r>
      <w:proofErr w:type="spellEnd"/>
      <w:r>
        <w:rPr>
          <w:rFonts w:ascii="Times New Roman" w:hAnsi="Times New Roman" w:cs="Times New Roman"/>
          <w:kern w:val="0"/>
        </w:rPr>
        <w:t xml:space="preserve"> </w:t>
      </w:r>
      <w:proofErr w:type="spellStart"/>
      <w:r>
        <w:rPr>
          <w:rFonts w:ascii="Times New Roman" w:hAnsi="Times New Roman" w:cs="Times New Roman"/>
          <w:kern w:val="0"/>
        </w:rPr>
        <w:t>Iнвест</w:t>
      </w:r>
      <w:proofErr w:type="spellEnd"/>
      <w:r>
        <w:rPr>
          <w:rFonts w:ascii="Times New Roman" w:hAnsi="Times New Roman" w:cs="Times New Roman"/>
          <w:kern w:val="0"/>
        </w:rPr>
        <w:t>"</w:t>
      </w:r>
    </w:p>
    <w:p w14:paraId="381C60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33B603F9" w14:textId="0A48F26E"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03062, м. Київ, проспект Перемоги, 67</w:t>
      </w:r>
    </w:p>
    <w:p w14:paraId="68C33E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31106821</w:t>
      </w:r>
    </w:p>
    <w:p w14:paraId="254556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(044) 490-10-96</w:t>
      </w:r>
    </w:p>
    <w:p w14:paraId="702509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katerina.stepanenko@atollholding.com</w:t>
      </w:r>
    </w:p>
    <w:p w14:paraId="57E99A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37E3E8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3D59CF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983231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76E6AB6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7B6D21F3"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A4AA4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6C9595B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https://invest.autotrading.ua/rus/indexdf95.html?sidemenu_link_id=company</w:t>
            </w:r>
          </w:p>
        </w:tc>
        <w:tc>
          <w:tcPr>
            <w:tcW w:w="1885" w:type="dxa"/>
            <w:tcBorders>
              <w:top w:val="nil"/>
              <w:left w:val="nil"/>
              <w:bottom w:val="single" w:sz="6" w:space="0" w:color="auto"/>
              <w:right w:val="nil"/>
            </w:tcBorders>
            <w:vAlign w:val="bottom"/>
          </w:tcPr>
          <w:p w14:paraId="419E92A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31.07.2025</w:t>
            </w:r>
          </w:p>
        </w:tc>
      </w:tr>
      <w:tr w:rsidR="00000000" w14:paraId="7D5571D1" w14:textId="77777777">
        <w:tblPrEx>
          <w:tblCellMar>
            <w:top w:w="0" w:type="dxa"/>
            <w:bottom w:w="0" w:type="dxa"/>
          </w:tblCellMar>
        </w:tblPrEx>
        <w:trPr>
          <w:trHeight w:val="300"/>
        </w:trPr>
        <w:tc>
          <w:tcPr>
            <w:tcW w:w="3415" w:type="dxa"/>
            <w:vMerge/>
            <w:tcBorders>
              <w:top w:val="nil"/>
              <w:left w:val="nil"/>
              <w:bottom w:val="nil"/>
              <w:right w:val="nil"/>
            </w:tcBorders>
          </w:tcPr>
          <w:p w14:paraId="24BC6F3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6C02BE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4046F5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51FC4E4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575383E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39F849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прийняття рішення про попереднє надання згоди на вчинення значних правочинів</w:t>
      </w:r>
    </w:p>
    <w:p w14:paraId="051A356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00"/>
        <w:gridCol w:w="2500"/>
        <w:gridCol w:w="2500"/>
        <w:gridCol w:w="3665"/>
      </w:tblGrid>
      <w:tr w:rsidR="00000000" w14:paraId="038A746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97F960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14:paraId="0EAB235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14:paraId="5677C58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Гранична сукупна вартість правочинів, </w:t>
            </w:r>
            <w:proofErr w:type="spellStart"/>
            <w:r>
              <w:rPr>
                <w:rFonts w:ascii="Times New Roman" w:hAnsi="Times New Roman" w:cs="Times New Roman"/>
                <w:b/>
                <w:bCs/>
                <w:kern w:val="0"/>
                <w:sz w:val="20"/>
                <w:szCs w:val="20"/>
              </w:rPr>
              <w:t>тис.грн</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4BE1AEB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Вартість активів емітента за даними останньої річної фінансової звітності, </w:t>
            </w:r>
            <w:proofErr w:type="spellStart"/>
            <w:r>
              <w:rPr>
                <w:rFonts w:ascii="Times New Roman" w:hAnsi="Times New Roman" w:cs="Times New Roman"/>
                <w:b/>
                <w:bCs/>
                <w:kern w:val="0"/>
                <w:sz w:val="20"/>
                <w:szCs w:val="20"/>
              </w:rPr>
              <w:t>тис.грн</w:t>
            </w:r>
            <w:proofErr w:type="spellEnd"/>
          </w:p>
        </w:tc>
        <w:tc>
          <w:tcPr>
            <w:tcW w:w="3665" w:type="dxa"/>
            <w:tcBorders>
              <w:top w:val="single" w:sz="6" w:space="0" w:color="auto"/>
              <w:left w:val="single" w:sz="6" w:space="0" w:color="auto"/>
              <w:bottom w:val="single" w:sz="6" w:space="0" w:color="auto"/>
            </w:tcBorders>
            <w:vAlign w:val="center"/>
          </w:tcPr>
          <w:p w14:paraId="2BF8D1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000000" w14:paraId="529B03F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1A100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14:paraId="48ADEFB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3D356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14:paraId="6DA14D6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3665" w:type="dxa"/>
            <w:tcBorders>
              <w:top w:val="single" w:sz="6" w:space="0" w:color="auto"/>
              <w:left w:val="single" w:sz="6" w:space="0" w:color="auto"/>
              <w:bottom w:val="single" w:sz="6" w:space="0" w:color="auto"/>
            </w:tcBorders>
            <w:vAlign w:val="center"/>
          </w:tcPr>
          <w:p w14:paraId="6023A5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2F64911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1FF47B5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300" w:type="dxa"/>
            <w:tcBorders>
              <w:top w:val="single" w:sz="6" w:space="0" w:color="auto"/>
              <w:left w:val="single" w:sz="6" w:space="0" w:color="auto"/>
              <w:bottom w:val="single" w:sz="6" w:space="0" w:color="auto"/>
              <w:right w:val="single" w:sz="6" w:space="0" w:color="auto"/>
            </w:tcBorders>
          </w:tcPr>
          <w:p w14:paraId="012D8E0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30.07.2025</w:t>
            </w:r>
          </w:p>
        </w:tc>
        <w:tc>
          <w:tcPr>
            <w:tcW w:w="2500" w:type="dxa"/>
            <w:tcBorders>
              <w:top w:val="single" w:sz="6" w:space="0" w:color="auto"/>
              <w:left w:val="single" w:sz="6" w:space="0" w:color="auto"/>
              <w:bottom w:val="single" w:sz="6" w:space="0" w:color="auto"/>
              <w:right w:val="single" w:sz="6" w:space="0" w:color="auto"/>
            </w:tcBorders>
          </w:tcPr>
          <w:p w14:paraId="4BAF7E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1 446 720</w:t>
            </w:r>
          </w:p>
        </w:tc>
        <w:tc>
          <w:tcPr>
            <w:tcW w:w="2500" w:type="dxa"/>
            <w:tcBorders>
              <w:top w:val="single" w:sz="6" w:space="0" w:color="auto"/>
              <w:left w:val="single" w:sz="6" w:space="0" w:color="auto"/>
              <w:bottom w:val="single" w:sz="6" w:space="0" w:color="auto"/>
              <w:right w:val="single" w:sz="6" w:space="0" w:color="auto"/>
            </w:tcBorders>
          </w:tcPr>
          <w:p w14:paraId="26A0AF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77 933</w:t>
            </w:r>
          </w:p>
        </w:tc>
        <w:tc>
          <w:tcPr>
            <w:tcW w:w="3665" w:type="dxa"/>
            <w:tcBorders>
              <w:top w:val="single" w:sz="6" w:space="0" w:color="auto"/>
              <w:left w:val="single" w:sz="6" w:space="0" w:color="auto"/>
              <w:bottom w:val="single" w:sz="6" w:space="0" w:color="auto"/>
            </w:tcBorders>
          </w:tcPr>
          <w:p w14:paraId="7D6F3C2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1 856,36</w:t>
            </w:r>
          </w:p>
        </w:tc>
      </w:tr>
      <w:tr w:rsidR="00000000" w14:paraId="60362ACF"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01E29CB"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Зміст інформації:</w:t>
            </w:r>
          </w:p>
        </w:tc>
      </w:tr>
      <w:tr w:rsidR="00000000" w14:paraId="6546CE2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9152DC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Загальними зборами акціонерів Товариства 30.07.2025 прийнято рішення про попереднє надання згоди на вчинення Товариством значних правочинів за наступними характеристиками: укладання Товариством нових кредитних договорів, договорів застави/іпотеки та договорів поруки, а також зміни і доповнення до них, на загальну суму, що не перевищуватиме еквівалент 30 (тридцять) мільйонів євро за офіційним курсом НБУ на дату укладання таких правочинів.</w:t>
            </w:r>
          </w:p>
          <w:p w14:paraId="5C89F85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Гранична сукупна вартість правочинів - 1 446 720 тис. грн. (що еквівалентно 30 (тридцять) мільйонів євро за курсом НБУ на дату прийняття рішення).</w:t>
            </w:r>
          </w:p>
          <w:p w14:paraId="3408312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Вартість активів емітента за даними останньої річної фінансової звітності – 77933 </w:t>
            </w:r>
            <w:proofErr w:type="spellStart"/>
            <w:r>
              <w:rPr>
                <w:rFonts w:ascii="Times New Roman" w:hAnsi="Times New Roman" w:cs="Times New Roman"/>
                <w:kern w:val="0"/>
                <w:sz w:val="20"/>
                <w:szCs w:val="20"/>
              </w:rPr>
              <w:t>тис.грн</w:t>
            </w:r>
            <w:proofErr w:type="spellEnd"/>
            <w:r>
              <w:rPr>
                <w:rFonts w:ascii="Times New Roman" w:hAnsi="Times New Roman" w:cs="Times New Roman"/>
                <w:kern w:val="0"/>
                <w:sz w:val="20"/>
                <w:szCs w:val="20"/>
              </w:rPr>
              <w:t xml:space="preserve">. </w:t>
            </w:r>
          </w:p>
          <w:p w14:paraId="3951F34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- 1856,36%. </w:t>
            </w:r>
          </w:p>
          <w:p w14:paraId="17EE529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- 2 134 шт., кількість голосуючих акцій, що зареєструвалися для участі у загальних зборах - 2 134 шт., кількість голосуючих акцій, що проголосували "за" прийняття рішення - 2 134 шт., кількість голосуючих акцій, що проголосували "проти" прийняття рішення - 0 шт.</w:t>
            </w:r>
          </w:p>
          <w:p w14:paraId="2CE3515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w:t>
            </w:r>
          </w:p>
          <w:p w14:paraId="27B4FC7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Укладання вказаних значних правочинів, а також укладання (підписання) у майбутньому необхідних додаткових угод чи доповнень до вказаних кредитних договорів, договорів застави/іпотеки, договорів поруки і договорів фінансової допомоги є схваленим/погодженим Загальними зборами акціонерів Товариства. Вказані правочини можуть вчинятися від імені Товариства Генеральним директором  на визначених ним на власний розсуд умовах без будь-яких обмежень в межах граничної сукупної вартості попередньо схвалених значних правочинів, визначеної даним пунктом, зокрема, але не виключно щодо ліміту(-</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)/суми/виду кредитування, строку/терміну кредитування, графіків зменшення ліміту, цільового використання (мети) кредитування, розмірів процентних ставок, комісій, штрафів, будь-яких без виключення інших платежів, обсягу відповідальності та зобов’язань Товариства, предмета(</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 забезпечення, контрагентів – Позичальників, тощо, з правом передоручення вказаних повноважень, без додаткового їх погодження Загальними зборами акціонерів/Наглядовою радою Товариства, протягом одного року з дня прийняття цього рішення.</w:t>
            </w:r>
          </w:p>
        </w:tc>
      </w:tr>
      <w:tr w:rsidR="00000000" w14:paraId="7024E7D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685F955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300" w:type="dxa"/>
            <w:tcBorders>
              <w:top w:val="single" w:sz="6" w:space="0" w:color="auto"/>
              <w:left w:val="single" w:sz="6" w:space="0" w:color="auto"/>
              <w:bottom w:val="single" w:sz="6" w:space="0" w:color="auto"/>
              <w:right w:val="single" w:sz="6" w:space="0" w:color="auto"/>
            </w:tcBorders>
          </w:tcPr>
          <w:p w14:paraId="35F12F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30.07.2025</w:t>
            </w:r>
          </w:p>
        </w:tc>
        <w:tc>
          <w:tcPr>
            <w:tcW w:w="2500" w:type="dxa"/>
            <w:tcBorders>
              <w:top w:val="single" w:sz="6" w:space="0" w:color="auto"/>
              <w:left w:val="single" w:sz="6" w:space="0" w:color="auto"/>
              <w:bottom w:val="single" w:sz="6" w:space="0" w:color="auto"/>
              <w:right w:val="single" w:sz="6" w:space="0" w:color="auto"/>
            </w:tcBorders>
          </w:tcPr>
          <w:p w14:paraId="00B370F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1 446 720</w:t>
            </w:r>
          </w:p>
        </w:tc>
        <w:tc>
          <w:tcPr>
            <w:tcW w:w="2500" w:type="dxa"/>
            <w:tcBorders>
              <w:top w:val="single" w:sz="6" w:space="0" w:color="auto"/>
              <w:left w:val="single" w:sz="6" w:space="0" w:color="auto"/>
              <w:bottom w:val="single" w:sz="6" w:space="0" w:color="auto"/>
              <w:right w:val="single" w:sz="6" w:space="0" w:color="auto"/>
            </w:tcBorders>
          </w:tcPr>
          <w:p w14:paraId="7F0237B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77 933</w:t>
            </w:r>
          </w:p>
        </w:tc>
        <w:tc>
          <w:tcPr>
            <w:tcW w:w="3665" w:type="dxa"/>
            <w:tcBorders>
              <w:top w:val="single" w:sz="6" w:space="0" w:color="auto"/>
              <w:left w:val="single" w:sz="6" w:space="0" w:color="auto"/>
              <w:bottom w:val="single" w:sz="6" w:space="0" w:color="auto"/>
            </w:tcBorders>
          </w:tcPr>
          <w:p w14:paraId="1320E60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1 856,36</w:t>
            </w:r>
          </w:p>
        </w:tc>
      </w:tr>
      <w:tr w:rsidR="00000000" w14:paraId="2D474D1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2DE17E3"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Зміст інформації:</w:t>
            </w:r>
          </w:p>
        </w:tc>
      </w:tr>
      <w:tr w:rsidR="00000000" w14:paraId="7E1AA49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36514D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Загальними зборами акціонерів Товариства 30.07.2025 прийнято рішення про попереднє надання згоди на вчинення Товариством значних правочинів за наступними характеристиками: укладання Товариством додаткових угод, якими вносяться будь-які зміни до вже укладених кредитних договорів, договорів застави/іпотеки та договорів поруки; гранична сукупна вартість вище зазначених попередньо схвалених правочинів не повинна перевищувати еквівалент 30 (тридцять) мільйонів євро за офіційним курсом НБУ на дату укладання таких правочинів.</w:t>
            </w:r>
          </w:p>
          <w:p w14:paraId="77DE543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Гранична сукупна вартість правочинів - 1 446 720 тис. грн. (що еквівалентно 30 (тридцять) мільйонів євро за курсом НБУ на дату прийняття рішення).</w:t>
            </w:r>
          </w:p>
          <w:p w14:paraId="2752FFA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Вартість активів емітента за даними останньої річної фінансової звітності – 77933 </w:t>
            </w:r>
            <w:proofErr w:type="spellStart"/>
            <w:r>
              <w:rPr>
                <w:rFonts w:ascii="Times New Roman" w:hAnsi="Times New Roman" w:cs="Times New Roman"/>
                <w:kern w:val="0"/>
                <w:sz w:val="20"/>
                <w:szCs w:val="20"/>
              </w:rPr>
              <w:t>тис.грн</w:t>
            </w:r>
            <w:proofErr w:type="spellEnd"/>
            <w:r>
              <w:rPr>
                <w:rFonts w:ascii="Times New Roman" w:hAnsi="Times New Roman" w:cs="Times New Roman"/>
                <w:kern w:val="0"/>
                <w:sz w:val="20"/>
                <w:szCs w:val="20"/>
              </w:rPr>
              <w:t xml:space="preserve">. </w:t>
            </w:r>
          </w:p>
          <w:p w14:paraId="362692C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- 1856,36%. </w:t>
            </w:r>
          </w:p>
          <w:p w14:paraId="00DA498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- 2 134 шт., кількість голосуючих акцій, що зареєструвалися для участі у загальних зборах - 2 134 шт., кількість голосуючих акцій, що проголосували "за" прийняття рішення - 2 134 шт., кількість голосуючих акцій, що проголосували "проти" прийняття рішення - 0 шт.</w:t>
            </w:r>
          </w:p>
          <w:p w14:paraId="514329A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w:t>
            </w:r>
          </w:p>
          <w:p w14:paraId="18A1468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Укладання вказаних значних правочинів, а також укладання (підписання) у майбутньому необхідних додаткових угод чи доповнень до вказаних кредитних договорів, договорів застави/іпотеки, договорів поруки і договорів фінансової допомоги є схваленим/погодженим Загальними зборами акціонерів Товариства. Вказані правочини можуть вчинятися від імені Товариства Генеральним директором  на визначених ним на власний розсуд умовах без будь-яких обмежень в межах граничної сукупної вартості попередньо схвалених значних правочинів, визначеної даним пунктом, зокрема, але не виключно щодо ліміту(-</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)/суми/виду кредитування, строку/терміну кредитування, графіків зменшення ліміту, цільового використання (мети) кредитування, розмірів процентних ставок, комісій, штрафів, будь-яких без виключення інших платежів, обсягу відповідальності та зобов’язань Товариства, предмета(</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 забезпечення, контрагентів – Позичальників, тощо, з правом передоручення вказаних повноважень, без додаткового їх погодження Загальними зборами акціонерів/Наглядовою радою Товариства, протягом одного року з дня прийняття цього рішення.</w:t>
            </w:r>
          </w:p>
        </w:tc>
      </w:tr>
      <w:tr w:rsidR="00000000" w14:paraId="77663D6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5F2849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lastRenderedPageBreak/>
              <w:t>3</w:t>
            </w:r>
          </w:p>
        </w:tc>
        <w:tc>
          <w:tcPr>
            <w:tcW w:w="1300" w:type="dxa"/>
            <w:tcBorders>
              <w:top w:val="single" w:sz="6" w:space="0" w:color="auto"/>
              <w:left w:val="single" w:sz="6" w:space="0" w:color="auto"/>
              <w:bottom w:val="single" w:sz="6" w:space="0" w:color="auto"/>
              <w:right w:val="single" w:sz="6" w:space="0" w:color="auto"/>
            </w:tcBorders>
          </w:tcPr>
          <w:p w14:paraId="2797E8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30.07.2025</w:t>
            </w:r>
          </w:p>
        </w:tc>
        <w:tc>
          <w:tcPr>
            <w:tcW w:w="2500" w:type="dxa"/>
            <w:tcBorders>
              <w:top w:val="single" w:sz="6" w:space="0" w:color="auto"/>
              <w:left w:val="single" w:sz="6" w:space="0" w:color="auto"/>
              <w:bottom w:val="single" w:sz="6" w:space="0" w:color="auto"/>
              <w:right w:val="single" w:sz="6" w:space="0" w:color="auto"/>
            </w:tcBorders>
          </w:tcPr>
          <w:p w14:paraId="09CAB0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100 000</w:t>
            </w:r>
          </w:p>
        </w:tc>
        <w:tc>
          <w:tcPr>
            <w:tcW w:w="2500" w:type="dxa"/>
            <w:tcBorders>
              <w:top w:val="single" w:sz="6" w:space="0" w:color="auto"/>
              <w:left w:val="single" w:sz="6" w:space="0" w:color="auto"/>
              <w:bottom w:val="single" w:sz="6" w:space="0" w:color="auto"/>
              <w:right w:val="single" w:sz="6" w:space="0" w:color="auto"/>
            </w:tcBorders>
          </w:tcPr>
          <w:p w14:paraId="3FD969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77 933</w:t>
            </w:r>
          </w:p>
        </w:tc>
        <w:tc>
          <w:tcPr>
            <w:tcW w:w="3665" w:type="dxa"/>
            <w:tcBorders>
              <w:top w:val="single" w:sz="6" w:space="0" w:color="auto"/>
              <w:left w:val="single" w:sz="6" w:space="0" w:color="auto"/>
              <w:bottom w:val="single" w:sz="6" w:space="0" w:color="auto"/>
            </w:tcBorders>
          </w:tcPr>
          <w:p w14:paraId="12A8F9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128,3</w:t>
            </w:r>
          </w:p>
        </w:tc>
      </w:tr>
      <w:tr w:rsidR="00000000" w14:paraId="70C232B3"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84EC401"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Зміст інформації:</w:t>
            </w:r>
          </w:p>
        </w:tc>
      </w:tr>
      <w:tr w:rsidR="00000000" w14:paraId="388155C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520032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Загальними зборами акціонерів Товариства 30.07.2025 прийнято рішення про попереднє надання згоди на вчинення Товариством значних правочинів за наступними характеристиками: укладання Товариством договорів щодо надання/отримання поворотної фінансової допомоги на загальну суму (ліміт), що не перевищує еквівалент 100 (сто) мільйонів гривень, а також будь-які зміни та доповнення до них, що не збільшують зазначений ліміт.</w:t>
            </w:r>
          </w:p>
          <w:p w14:paraId="1825A80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Гранична сукупна вартість правочинів – 100 000 тис. грн.</w:t>
            </w:r>
          </w:p>
          <w:p w14:paraId="77AC5C4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Вартість активів емітента за даними останньої річної фінансової звітності – 77933 </w:t>
            </w:r>
            <w:proofErr w:type="spellStart"/>
            <w:r>
              <w:rPr>
                <w:rFonts w:ascii="Times New Roman" w:hAnsi="Times New Roman" w:cs="Times New Roman"/>
                <w:kern w:val="0"/>
                <w:sz w:val="20"/>
                <w:szCs w:val="20"/>
              </w:rPr>
              <w:t>тис.грн</w:t>
            </w:r>
            <w:proofErr w:type="spellEnd"/>
            <w:r>
              <w:rPr>
                <w:rFonts w:ascii="Times New Roman" w:hAnsi="Times New Roman" w:cs="Times New Roman"/>
                <w:kern w:val="0"/>
                <w:sz w:val="20"/>
                <w:szCs w:val="20"/>
              </w:rPr>
              <w:t xml:space="preserve">. </w:t>
            </w:r>
          </w:p>
          <w:p w14:paraId="2A5DD98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 128,3%. </w:t>
            </w:r>
          </w:p>
          <w:p w14:paraId="6D6FDF7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- 2 134 шт., кількість голосуючих акцій, що зареєструвалися для участі у загальних зборах - 2 134 шт., кількість голосуючих акцій, що проголосували "за" прийняття рішення - 2 134 шт., кількість голосуючих акцій, що проголосували "проти" прийняття рішення - 0 шт.</w:t>
            </w:r>
          </w:p>
          <w:p w14:paraId="77DDECD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w:t>
            </w:r>
          </w:p>
          <w:p w14:paraId="17D3EEE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Укладання вказаних значних правочинів, а також укладання (підписання) у майбутньому необхідних додаткових угод чи доповнень до вказаних кредитних договорів, договорів застави/іпотеки, договорів поруки і договорів фінансової допомоги є схваленим/погодженим Загальними зборами акціонерів Товариства. Вказані правочини можуть вчинятися від імені Товариства Генеральним директором  на визначених ним на власний розсуд умовах без будь-яких обмежень в межах граничної сукупної вартості попередньо схвалених значних правочинів, визначеної даним пунктом, зокрема, але не виключно щодо ліміту(-</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)/суми/виду кредитування, строку/терміну кредитування, графіків зменшення ліміту, цільового використання (мети) кредитування, розмірів процентних ставок, комісій, штрафів, будь-яких без виключення інших платежів, обсягу відповідальності та зобов’язань Товариства, предмета(</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 забезпечення, контрагентів – Позичальників, тощо, з правом передоручення вказаних повноважень, без додаткового їх погодження Загальними зборами акціонерів/Наглядовою радою Товариства, протягом одного року з дня прийняття цього рішення.</w:t>
            </w:r>
          </w:p>
        </w:tc>
      </w:tr>
      <w:tr w:rsidR="00000000" w14:paraId="63E3B69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54C3C9A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300" w:type="dxa"/>
            <w:tcBorders>
              <w:top w:val="single" w:sz="6" w:space="0" w:color="auto"/>
              <w:left w:val="single" w:sz="6" w:space="0" w:color="auto"/>
              <w:bottom w:val="single" w:sz="6" w:space="0" w:color="auto"/>
              <w:right w:val="single" w:sz="6" w:space="0" w:color="auto"/>
            </w:tcBorders>
          </w:tcPr>
          <w:p w14:paraId="761B94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30.07.2025</w:t>
            </w:r>
          </w:p>
        </w:tc>
        <w:tc>
          <w:tcPr>
            <w:tcW w:w="2500" w:type="dxa"/>
            <w:tcBorders>
              <w:top w:val="single" w:sz="6" w:space="0" w:color="auto"/>
              <w:left w:val="single" w:sz="6" w:space="0" w:color="auto"/>
              <w:bottom w:val="single" w:sz="6" w:space="0" w:color="auto"/>
              <w:right w:val="single" w:sz="6" w:space="0" w:color="auto"/>
            </w:tcBorders>
          </w:tcPr>
          <w:p w14:paraId="1B1A49D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100 000</w:t>
            </w:r>
          </w:p>
        </w:tc>
        <w:tc>
          <w:tcPr>
            <w:tcW w:w="2500" w:type="dxa"/>
            <w:tcBorders>
              <w:top w:val="single" w:sz="6" w:space="0" w:color="auto"/>
              <w:left w:val="single" w:sz="6" w:space="0" w:color="auto"/>
              <w:bottom w:val="single" w:sz="6" w:space="0" w:color="auto"/>
              <w:right w:val="single" w:sz="6" w:space="0" w:color="auto"/>
            </w:tcBorders>
          </w:tcPr>
          <w:p w14:paraId="5A8F2C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77 933</w:t>
            </w:r>
          </w:p>
        </w:tc>
        <w:tc>
          <w:tcPr>
            <w:tcW w:w="3665" w:type="dxa"/>
            <w:tcBorders>
              <w:top w:val="single" w:sz="6" w:space="0" w:color="auto"/>
              <w:left w:val="single" w:sz="6" w:space="0" w:color="auto"/>
              <w:bottom w:val="single" w:sz="6" w:space="0" w:color="auto"/>
            </w:tcBorders>
          </w:tcPr>
          <w:p w14:paraId="41A14BB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128,3</w:t>
            </w:r>
          </w:p>
        </w:tc>
      </w:tr>
      <w:tr w:rsidR="00000000" w14:paraId="7DDBEAD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1E01D97"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Зміст інформації:</w:t>
            </w:r>
          </w:p>
        </w:tc>
      </w:tr>
      <w:tr w:rsidR="00000000" w14:paraId="357F05C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8CC404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Загальними зборами акціонерів Товариства 30.07.2025 прийнято рішення про попереднє надання згоди на вчинення Товариством значних правочинів за наступними характеристиками: укладання Товариством інших договорів на загальну суму (ліміт), що не перевищує 100 (сто) мільйонів гривень на дату укладання таких правочинів, а також будь-які зміни та доповнення до них, що не збільшують зазначений ліміт відповідальності.</w:t>
            </w:r>
          </w:p>
          <w:p w14:paraId="4ECA8A1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Гранична сукупна вартість правочинів – 100 000 тис. грн.</w:t>
            </w:r>
          </w:p>
          <w:p w14:paraId="4B201A9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Вартість активів емітента за даними останньої річної фінансової звітності – 77933 </w:t>
            </w:r>
            <w:proofErr w:type="spellStart"/>
            <w:r>
              <w:rPr>
                <w:rFonts w:ascii="Times New Roman" w:hAnsi="Times New Roman" w:cs="Times New Roman"/>
                <w:kern w:val="0"/>
                <w:sz w:val="20"/>
                <w:szCs w:val="20"/>
              </w:rPr>
              <w:t>тис.грн</w:t>
            </w:r>
            <w:proofErr w:type="spellEnd"/>
            <w:r>
              <w:rPr>
                <w:rFonts w:ascii="Times New Roman" w:hAnsi="Times New Roman" w:cs="Times New Roman"/>
                <w:kern w:val="0"/>
                <w:sz w:val="20"/>
                <w:szCs w:val="20"/>
              </w:rPr>
              <w:t xml:space="preserve">. </w:t>
            </w:r>
          </w:p>
          <w:p w14:paraId="29A8562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 128,3%. </w:t>
            </w:r>
          </w:p>
          <w:p w14:paraId="39FE5E2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- 2 134 шт., кількість голосуючих акцій, що зареєструвалися для участі у загальних зборах - 2 134 шт., кількість голосуючих акцій, що проголосували "за" прийняття рішення - 2 134 шт., кількість голосуючих акцій, що проголосували "проти" прийняття рішення - 0 шт.</w:t>
            </w:r>
          </w:p>
          <w:p w14:paraId="6E6ED04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w:t>
            </w:r>
          </w:p>
          <w:p w14:paraId="2C3983B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Укладання вказаних значних правочинів, а також укладання (підписання) у майбутньому необхідних додаткових угод чи доповнень до вказаних кредитних договорів, договорів застави/іпотеки, договорів поруки і договорів фінансової допомоги є схваленим/погодженим Загальними зборами акціонерів Товариства. Вказані правочини можуть вчинятися від імені Товариства Генеральним директором  на визначених ним на власний розсуд умовах без будь-яких обмежень в межах граничної сукупної вартості попередньо схвалених значних правочинів, визначеної даним пунктом, зокрема, але не виключно щодо ліміту(-</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)/суми/виду кредитування, строку/терміну кредитування, графіків зменшення ліміту, цільового використання (мети) кредитування, розмірів процентних ставок, комісій, штрафів, будь-яких без виключення інших платежів, обсягу відповідальності та зобов’язань Товариства, предмета(</w:t>
            </w:r>
            <w:proofErr w:type="spellStart"/>
            <w:r>
              <w:rPr>
                <w:rFonts w:ascii="Times New Roman" w:hAnsi="Times New Roman" w:cs="Times New Roman"/>
                <w:kern w:val="0"/>
                <w:sz w:val="20"/>
                <w:szCs w:val="20"/>
              </w:rPr>
              <w:t>ів</w:t>
            </w:r>
            <w:proofErr w:type="spellEnd"/>
            <w:r>
              <w:rPr>
                <w:rFonts w:ascii="Times New Roman" w:hAnsi="Times New Roman" w:cs="Times New Roman"/>
                <w:kern w:val="0"/>
                <w:sz w:val="20"/>
                <w:szCs w:val="20"/>
              </w:rPr>
              <w:t>) забезпечення, контрагентів – Позичальників, тощо, з правом передоручення вказаних повноважень, без додаткового їх погодження Загальними зборами акціонерів/Наглядовою радою Товариства, протягом одного року з дня прийняття цього рішення.</w:t>
            </w:r>
          </w:p>
        </w:tc>
      </w:tr>
    </w:tbl>
    <w:p w14:paraId="650D9E9F" w14:textId="77777777" w:rsidR="00910BEE" w:rsidRDefault="00910BEE"/>
    <w:sectPr w:rsidR="00910BEE">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5A19" w14:textId="77777777" w:rsidR="00910BEE" w:rsidRDefault="00910BEE">
      <w:pPr>
        <w:spacing w:after="0" w:line="240" w:lineRule="auto"/>
      </w:pPr>
      <w:r>
        <w:separator/>
      </w:r>
    </w:p>
  </w:endnote>
  <w:endnote w:type="continuationSeparator" w:id="0">
    <w:p w14:paraId="7C49B1FE" w14:textId="77777777" w:rsidR="00910BEE" w:rsidRDefault="0091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4D87"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CF73C7">
      <w:rPr>
        <w:rFonts w:ascii="Times New Roman" w:hAnsi="Times New Roman" w:cs="Times New Roman"/>
        <w:kern w:val="0"/>
        <w:sz w:val="20"/>
        <w:szCs w:val="20"/>
        <w:lang w:val="ru-RU"/>
      </w:rPr>
      <w:fldChar w:fldCharType="separate"/>
    </w:r>
    <w:r w:rsidR="00CF73C7">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8565" w14:textId="77777777" w:rsidR="00910BEE" w:rsidRDefault="00910BEE">
      <w:pPr>
        <w:spacing w:after="0" w:line="240" w:lineRule="auto"/>
      </w:pPr>
      <w:r>
        <w:separator/>
      </w:r>
    </w:p>
  </w:footnote>
  <w:footnote w:type="continuationSeparator" w:id="0">
    <w:p w14:paraId="5433F224" w14:textId="77777777" w:rsidR="00910BEE" w:rsidRDefault="00910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C7"/>
    <w:rsid w:val="00910BEE"/>
    <w:rsid w:val="00BA73A5"/>
    <w:rsid w:val="00CF73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C4BE4"/>
  <w14:defaultImageDpi w14:val="0"/>
  <w15:docId w15:val="{C0E4ABCC-CC75-483E-9C93-B8B3AA31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7882</Words>
  <Characters>4494</Characters>
  <Application>Microsoft Office Word</Application>
  <DocSecurity>0</DocSecurity>
  <Lines>37</Lines>
  <Paragraphs>24</Paragraphs>
  <ScaleCrop>false</ScaleCrop>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2025-07-31T15:26:00Z</dcterms:created>
  <dcterms:modified xsi:type="dcterms:W3CDTF">2025-07-31T15:26:00Z</dcterms:modified>
</cp:coreProperties>
</file>